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R5-256809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3567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Adjacent channel leakage ratio for ATG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is missing and need to be added as per WP.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rPr>
          <w:trHeight w:val="21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6.5J.2.3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571683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38.905 CR 1097</w:t>
            </w:r>
          </w:p>
          <w:p w14:paraId="780F7B46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38.522 CR 0673</w:t>
            </w:r>
          </w:p>
          <w:p w14:paraId="0EBBF3D8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38.521-1 CR 3568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TP analysis CR is R5-256048(CR 1097). The related applicability CR is R5-256055(CR 0673). The related Annex F MU/TT updated CR is R5-256052(CR 3568).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AU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7DE48A6">
      <w:pPr>
        <w:pStyle w:val="5"/>
        <w:rPr>
          <w:ins w:id="0" w:author="CMCC" w:date="2025-10-21T12:02:43Z"/>
          <w:rFonts w:hint="eastAsia" w:eastAsia="宋体"/>
          <w:lang w:eastAsia="zh-CN"/>
        </w:rPr>
      </w:pPr>
      <w:ins w:id="1" w:author="CMCC" w:date="2025-10-21T12:02:43Z">
        <w:r>
          <w:rPr>
            <w:rFonts w:hint="eastAsia" w:eastAsia="宋体"/>
            <w:lang w:eastAsia="zh-CN"/>
          </w:rPr>
          <w:t>6.</w:t>
        </w:r>
      </w:ins>
      <w:ins w:id="2" w:author="CMCC" w:date="2025-10-21T12:02:43Z">
        <w:r>
          <w:rPr>
            <w:rFonts w:hint="eastAsia" w:eastAsia="宋体"/>
            <w:lang w:val="en-US" w:eastAsia="zh-CN"/>
          </w:rPr>
          <w:t>5</w:t>
        </w:r>
      </w:ins>
      <w:ins w:id="3" w:author="CMCC" w:date="2025-10-21T12:02:43Z">
        <w:r>
          <w:rPr>
            <w:rFonts w:hint="eastAsia" w:eastAsia="宋体"/>
            <w:lang w:eastAsia="zh-CN"/>
          </w:rPr>
          <w:t>J.2</w:t>
        </w:r>
      </w:ins>
      <w:ins w:id="4" w:author="CMCC" w:date="2025-10-21T12:02:43Z">
        <w:r>
          <w:rPr/>
          <w:t>.</w:t>
        </w:r>
      </w:ins>
      <w:ins w:id="5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6" w:author="CMCC" w:date="2025-10-21T12:02:43Z">
        <w:r>
          <w:rPr/>
          <w:tab/>
        </w:r>
      </w:ins>
      <w:ins w:id="7" w:author="CMCC" w:date="2025-10-21T12:02:43Z">
        <w:r>
          <w:rPr>
            <w:rFonts w:hint="eastAsia" w:eastAsia="宋体"/>
            <w:highlight w:val="none"/>
            <w:lang w:val="en-US" w:eastAsia="zh-CN"/>
          </w:rPr>
          <w:t>Adjacent channel leakage ratio for ATG</w:t>
        </w:r>
      </w:ins>
    </w:p>
    <w:p w14:paraId="43F35F2B">
      <w:pPr>
        <w:pStyle w:val="75"/>
        <w:rPr>
          <w:ins w:id="8" w:author="CMCC" w:date="2025-10-21T12:02:43Z"/>
          <w:lang w:eastAsia="zh-CN"/>
        </w:rPr>
      </w:pPr>
      <w:ins w:id="9" w:author="CMCC" w:date="2025-10-21T12:02:43Z">
        <w:bookmarkStart w:id="5" w:name="_Toc60825339"/>
        <w:bookmarkStart w:id="6" w:name="_Toc44324025"/>
        <w:bookmarkStart w:id="7" w:name="_Toc52990218"/>
        <w:bookmarkStart w:id="8" w:name="_Toc27478047"/>
        <w:bookmarkStart w:id="9" w:name="_Toc36226740"/>
        <w:bookmarkStart w:id="10" w:name="_Toc60823417"/>
        <w:r>
          <w:rPr>
            <w:lang w:eastAsia="zh-CN"/>
          </w:rPr>
          <w:t>Editor’s Note: The following aspects are not yet determined:</w:t>
        </w:r>
      </w:ins>
    </w:p>
    <w:p w14:paraId="0BB781A0">
      <w:pPr>
        <w:pStyle w:val="75"/>
        <w:rPr>
          <w:ins w:id="10" w:author="CMCC" w:date="2025-10-21T12:02:43Z"/>
        </w:rPr>
      </w:pPr>
      <w:ins w:id="11" w:author="CMCC" w:date="2025-10-21T12:02:43Z">
        <w:r>
          <w:rPr/>
          <w:t xml:space="preserve">- </w:t>
        </w:r>
      </w:ins>
      <w:ins w:id="12" w:author="CMCC" w:date="2025-10-21T12:02:43Z">
        <w:r>
          <w:rPr>
            <w:rFonts w:hint="eastAsia"/>
          </w:rPr>
          <w:t>MU/TT are FFS for ATG UEs with more than 2 transmit antenna connectors/ transceiver array boundary (TAB) connectors.</w:t>
        </w:r>
      </w:ins>
    </w:p>
    <w:p w14:paraId="30E57256">
      <w:pPr>
        <w:pStyle w:val="75"/>
        <w:rPr>
          <w:ins w:id="13" w:author="CMCC" w:date="2025-10-21T12:02:43Z"/>
        </w:rPr>
      </w:pPr>
      <w:ins w:id="14" w:author="CMCC" w:date="2025-10-21T12:02:43Z">
        <w:r>
          <w:rPr/>
          <w:t xml:space="preserve">- </w:t>
        </w:r>
      </w:ins>
      <w:ins w:id="15" w:author="CMCC" w:date="2025-10-21T12:02:43Z">
        <w:r>
          <w:rPr>
            <w:rFonts w:hint="eastAsia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 w14:paraId="1B204F7B">
      <w:pPr>
        <w:pStyle w:val="8"/>
        <w:rPr>
          <w:ins w:id="16" w:author="CMCC" w:date="2025-10-21T12:02:43Z"/>
        </w:rPr>
      </w:pPr>
      <w:ins w:id="17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18" w:author="CMCC" w:date="2025-10-21T12:02:43Z">
        <w:r>
          <w:rPr/>
          <w:t>.1</w:t>
        </w:r>
      </w:ins>
      <w:ins w:id="19" w:author="CMCC" w:date="2025-10-21T12:02:43Z">
        <w:r>
          <w:rPr/>
          <w:tab/>
        </w:r>
      </w:ins>
      <w:ins w:id="20" w:author="CMCC" w:date="2025-10-21T12:02:43Z">
        <w:r>
          <w:rPr/>
          <w:t>Test purpose</w:t>
        </w:r>
        <w:bookmarkEnd w:id="5"/>
        <w:bookmarkEnd w:id="6"/>
        <w:bookmarkEnd w:id="7"/>
        <w:bookmarkEnd w:id="8"/>
        <w:bookmarkEnd w:id="9"/>
        <w:bookmarkEnd w:id="10"/>
      </w:ins>
    </w:p>
    <w:p w14:paraId="11511B6F">
      <w:pPr>
        <w:rPr>
          <w:ins w:id="21" w:author="CMCC" w:date="2025-10-21T12:02:43Z"/>
        </w:rPr>
      </w:pPr>
      <w:ins w:id="22" w:author="CMCC" w:date="2025-10-21T12:02:43Z">
        <w:bookmarkStart w:id="11" w:name="_Toc52990219"/>
        <w:bookmarkStart w:id="12" w:name="_Toc60825340"/>
        <w:bookmarkStart w:id="13" w:name="_Toc60823418"/>
        <w:bookmarkStart w:id="14" w:name="_Toc27478048"/>
        <w:bookmarkStart w:id="15" w:name="_Toc44324026"/>
        <w:bookmarkStart w:id="16" w:name="_Toc36226741"/>
        <w:r>
          <w:rPr/>
          <w:t xml:space="preserve">Same test purpose as in </w:t>
        </w:r>
      </w:ins>
      <w:ins w:id="23" w:author="CMCC" w:date="2025-10-21T12:02:43Z">
        <w:r>
          <w:rPr>
            <w:rFonts w:hint="eastAsia"/>
          </w:rPr>
          <w:t>6.5.2.4.1.1</w:t>
        </w:r>
      </w:ins>
      <w:ins w:id="24" w:author="CMCC" w:date="2025-10-21T12:02:43Z">
        <w:r>
          <w:rPr/>
          <w:t>.</w:t>
        </w:r>
      </w:ins>
    </w:p>
    <w:p w14:paraId="3BE0CDA7">
      <w:pPr>
        <w:pStyle w:val="8"/>
        <w:rPr>
          <w:ins w:id="25" w:author="CMCC" w:date="2025-10-21T12:02:43Z"/>
        </w:rPr>
      </w:pPr>
      <w:ins w:id="26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27" w:author="CMCC" w:date="2025-10-21T12:02:43Z">
        <w:r>
          <w:rPr/>
          <w:t>.2</w:t>
        </w:r>
      </w:ins>
      <w:ins w:id="28" w:author="CMCC" w:date="2025-10-21T12:02:43Z">
        <w:r>
          <w:rPr/>
          <w:tab/>
        </w:r>
      </w:ins>
      <w:ins w:id="29" w:author="CMCC" w:date="2025-10-21T12:02:43Z">
        <w:r>
          <w:rPr/>
          <w:t>Test applicability</w:t>
        </w:r>
        <w:bookmarkEnd w:id="11"/>
        <w:bookmarkEnd w:id="12"/>
        <w:bookmarkEnd w:id="13"/>
        <w:bookmarkEnd w:id="14"/>
        <w:bookmarkEnd w:id="15"/>
        <w:bookmarkEnd w:id="16"/>
      </w:ins>
    </w:p>
    <w:p w14:paraId="0AD75971">
      <w:pPr>
        <w:rPr>
          <w:ins w:id="30" w:author="CMCC" w:date="2025-10-21T12:02:43Z"/>
        </w:rPr>
      </w:pPr>
      <w:ins w:id="31" w:author="CMCC" w:date="2025-10-21T12:02:43Z">
        <w:bookmarkStart w:id="17" w:name="_Toc27478049"/>
        <w:bookmarkStart w:id="18" w:name="_Toc44324027"/>
        <w:bookmarkStart w:id="19" w:name="_Toc52990220"/>
        <w:bookmarkStart w:id="20" w:name="_Toc36226742"/>
        <w:bookmarkStart w:id="21" w:name="_Toc60825341"/>
        <w:bookmarkStart w:id="22" w:name="_Toc60823419"/>
        <w:r>
          <w:rPr/>
          <w:t>This test case applies to all types of NR UE release 18 and forward that support NR standalone ATG.</w:t>
        </w:r>
      </w:ins>
    </w:p>
    <w:p w14:paraId="574E0389">
      <w:pPr>
        <w:pStyle w:val="8"/>
        <w:rPr>
          <w:ins w:id="32" w:author="CMCC" w:date="2025-10-21T12:02:43Z"/>
        </w:rPr>
      </w:pPr>
      <w:ins w:id="33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34" w:author="CMCC" w:date="2025-10-21T12:02:43Z">
        <w:r>
          <w:rPr/>
          <w:t>.3</w:t>
        </w:r>
      </w:ins>
      <w:ins w:id="35" w:author="CMCC" w:date="2025-10-21T12:02:43Z">
        <w:r>
          <w:rPr/>
          <w:tab/>
        </w:r>
      </w:ins>
      <w:ins w:id="36" w:author="CMCC" w:date="2025-10-21T12:02:43Z">
        <w:r>
          <w:rPr/>
          <w:t>Minimum conformance requirements</w:t>
        </w:r>
        <w:bookmarkEnd w:id="17"/>
        <w:bookmarkEnd w:id="18"/>
        <w:bookmarkEnd w:id="19"/>
        <w:bookmarkEnd w:id="20"/>
        <w:bookmarkEnd w:id="21"/>
        <w:bookmarkEnd w:id="22"/>
      </w:ins>
    </w:p>
    <w:p w14:paraId="2F0E1CBD">
      <w:pPr>
        <w:rPr>
          <w:ins w:id="37" w:author="CMCC" w:date="2025-10-21T12:02:43Z"/>
          <w:rFonts w:hint="default"/>
          <w:lang w:val="en-US"/>
        </w:rPr>
      </w:pPr>
      <w:ins w:id="38" w:author="CMCC" w:date="2025-10-21T12:02:43Z">
        <w:r>
          <w:rPr/>
          <w:t>NR Adjacent Channel Leakage power Ratio (NR</w:t>
        </w:r>
      </w:ins>
      <w:ins w:id="39" w:author="CMCC" w:date="2025-10-21T12:02:43Z">
        <w:r>
          <w:rPr>
            <w:vertAlign w:val="subscript"/>
          </w:rPr>
          <w:t>ACLR</w:t>
        </w:r>
      </w:ins>
      <w:ins w:id="40" w:author="CMCC" w:date="2025-10-21T12:02:43Z">
        <w:r>
          <w:rPr/>
          <w:t xml:space="preserve">) is the ratio of the filtered mean power centred on the assigned NR channel frequency to the filtered mean power </w:t>
        </w:r>
      </w:ins>
      <w:ins w:id="41" w:author="CMCC" w:date="2025-10-21T12:02:43Z">
        <w:r>
          <w:rPr>
            <w:highlight w:val="none"/>
          </w:rPr>
          <w:t>centred on an adjacent NR channel frequency at nominal channel spacing.</w:t>
        </w:r>
      </w:ins>
      <w:ins w:id="42" w:author="CMCC" w:date="2025-10-21T12:02:43Z">
        <w:r>
          <w:rPr>
            <w:highlight w:val="none"/>
            <w:lang w:eastAsia="zh-CN"/>
          </w:rPr>
          <w:t xml:space="preserve"> For ATG UE, the requirements for ACLR are defined as the sum of the emissions from all UE transmit antenna connectors</w:t>
        </w:r>
      </w:ins>
      <w:ins w:id="43" w:author="CMCC" w:date="2025-10-21T12:02:43Z">
        <w:r>
          <w:rPr>
            <w:rFonts w:hint="eastAsia"/>
            <w:highlight w:val="none"/>
            <w:lang w:eastAsia="zh-CN"/>
          </w:rPr>
          <w:t xml:space="preserve"> or all TAB connectors</w:t>
        </w:r>
      </w:ins>
      <w:ins w:id="44" w:author="CMCC" w:date="2025-10-21T12:02:43Z">
        <w:r>
          <w:rPr>
            <w:highlight w:val="none"/>
            <w:lang w:eastAsia="zh-CN"/>
          </w:rPr>
          <w:t>.</w:t>
        </w:r>
      </w:ins>
    </w:p>
    <w:p w14:paraId="5B13E953">
      <w:pPr>
        <w:rPr>
          <w:ins w:id="45" w:author="CMCC" w:date="2025-10-21T12:02:43Z"/>
          <w:rFonts w:cs="v5.0.0"/>
        </w:rPr>
      </w:pPr>
      <w:ins w:id="46" w:author="CMCC" w:date="2025-10-21T12:02:43Z">
        <w:r>
          <w:rPr/>
          <w:t xml:space="preserve">The assigned NR channel power and adjacent NR channel power are measured with rectangular filters with measurement bandwidths specified in </w:t>
        </w:r>
      </w:ins>
      <w:ins w:id="47" w:author="CMCC" w:date="2025-10-21T12:02:43Z">
        <w:r>
          <w:rPr>
            <w:rFonts w:cs="v5.0.0"/>
          </w:rPr>
          <w:t>Table </w:t>
        </w:r>
      </w:ins>
      <w:ins w:id="48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49" w:author="CMCC" w:date="2025-10-21T12:02:43Z">
        <w:r>
          <w:rPr/>
          <w:t>.3-1</w:t>
        </w:r>
      </w:ins>
      <w:ins w:id="50" w:author="CMCC" w:date="2025-10-21T12:02:43Z">
        <w:r>
          <w:rPr>
            <w:rFonts w:cs="v5.0.0"/>
          </w:rPr>
          <w:t>.</w:t>
        </w:r>
      </w:ins>
    </w:p>
    <w:p w14:paraId="29BD404E">
      <w:pPr>
        <w:rPr>
          <w:ins w:id="51" w:author="CMCC" w:date="2025-10-21T12:02:43Z"/>
          <w:rFonts w:cs="v5.0.0"/>
        </w:rPr>
      </w:pPr>
      <w:ins w:id="52" w:author="CMCC" w:date="2025-10-21T12:02:43Z">
        <w:r>
          <w:rPr>
            <w:rFonts w:cs="v5.0.0"/>
          </w:rPr>
          <w:t xml:space="preserve">If the measured adjacent channel power is greater than –50 dBm then the </w:t>
        </w:r>
      </w:ins>
      <w:ins w:id="53" w:author="CMCC" w:date="2025-10-21T12:02:43Z">
        <w:r>
          <w:rPr/>
          <w:t>NR</w:t>
        </w:r>
      </w:ins>
      <w:ins w:id="54" w:author="CMCC" w:date="2025-10-21T12:02:43Z">
        <w:r>
          <w:rPr>
            <w:vertAlign w:val="subscript"/>
          </w:rPr>
          <w:t>ACLR</w:t>
        </w:r>
      </w:ins>
      <w:ins w:id="55" w:author="CMCC" w:date="2025-10-21T12:02:43Z">
        <w:r>
          <w:rPr>
            <w:rFonts w:cs="v5.0.0"/>
          </w:rPr>
          <w:t xml:space="preserve"> shall be higher than the value </w:t>
        </w:r>
      </w:ins>
      <w:ins w:id="56" w:author="CMCC" w:date="2025-10-21T12:02:43Z">
        <w:r>
          <w:rPr>
            <w:rFonts w:hint="eastAsia" w:cs="v5.0.0"/>
            <w:lang w:eastAsia="zh-CN"/>
          </w:rPr>
          <w:t>30dBc</w:t>
        </w:r>
      </w:ins>
      <w:ins w:id="57" w:author="CMCC" w:date="2025-10-21T12:02:43Z">
        <w:r>
          <w:rPr>
            <w:rFonts w:cs="v5.0.0"/>
          </w:rPr>
          <w:t>.</w:t>
        </w:r>
      </w:ins>
    </w:p>
    <w:p w14:paraId="6DB82B3F">
      <w:pPr>
        <w:pStyle w:val="56"/>
        <w:rPr>
          <w:ins w:id="58" w:author="CMCC" w:date="2025-10-21T12:02:43Z"/>
        </w:rPr>
      </w:pPr>
      <w:ins w:id="59" w:author="CMCC" w:date="2025-10-21T12:02:43Z">
        <w:r>
          <w:rPr/>
          <w:t xml:space="preserve">Table </w:t>
        </w:r>
      </w:ins>
      <w:ins w:id="60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61" w:author="CMCC" w:date="2025-10-21T12:02:43Z">
        <w:r>
          <w:rPr/>
          <w:t>.3-1: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F2D8AA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BE354">
            <w:pPr>
              <w:pStyle w:val="52"/>
              <w:rPr>
                <w:ins w:id="63" w:author="CMCC" w:date="2025-10-21T12:02:43Z"/>
              </w:rPr>
            </w:pPr>
            <w:ins w:id="64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AFDF">
            <w:pPr>
              <w:pStyle w:val="53"/>
              <w:rPr>
                <w:ins w:id="65" w:author="CMCC" w:date="2025-10-21T12:02:43Z"/>
              </w:rPr>
            </w:pPr>
            <w:ins w:id="66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5FACC">
            <w:pPr>
              <w:pStyle w:val="53"/>
              <w:rPr>
                <w:ins w:id="67" w:author="CMCC" w:date="2025-10-21T12:02:43Z"/>
              </w:rPr>
            </w:pPr>
            <w:ins w:id="68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C4318">
            <w:pPr>
              <w:pStyle w:val="53"/>
              <w:rPr>
                <w:ins w:id="69" w:author="CMCC" w:date="2025-10-21T12:02:43Z"/>
              </w:rPr>
            </w:pPr>
            <w:ins w:id="70" w:author="CMCC" w:date="2025-10-21T12:02:43Z">
              <w:r>
                <w:rPr/>
                <w:t>60,70,80,90,100</w:t>
              </w:r>
            </w:ins>
          </w:p>
        </w:tc>
      </w:tr>
      <w:tr w14:paraId="2B082D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A1A81">
            <w:pPr>
              <w:pStyle w:val="52"/>
              <w:rPr>
                <w:ins w:id="72" w:author="CMCC" w:date="2025-10-21T12:02:43Z"/>
              </w:rPr>
            </w:pPr>
            <w:ins w:id="73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7B45">
            <w:pPr>
              <w:pStyle w:val="53"/>
              <w:rPr>
                <w:ins w:id="74" w:author="CMCC" w:date="2025-10-21T12:02:43Z"/>
              </w:rPr>
            </w:pPr>
            <w:ins w:id="75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AC697">
            <w:pPr>
              <w:pStyle w:val="53"/>
              <w:rPr>
                <w:ins w:id="76" w:author="CMCC" w:date="2025-10-21T12:02:43Z"/>
              </w:rPr>
            </w:pPr>
            <w:ins w:id="77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426AA">
            <w:pPr>
              <w:pStyle w:val="53"/>
              <w:rPr>
                <w:ins w:id="78" w:author="CMCC" w:date="2025-10-21T12:02:43Z"/>
              </w:rPr>
            </w:pPr>
            <w:ins w:id="79" w:author="CMCC" w:date="2025-10-21T12:02:43Z">
              <w:r>
                <w:rPr/>
                <w:t>30</w:t>
              </w:r>
            </w:ins>
          </w:p>
        </w:tc>
      </w:tr>
      <w:tr w14:paraId="1CDC73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3F13D">
            <w:pPr>
              <w:pStyle w:val="52"/>
              <w:rPr>
                <w:ins w:id="81" w:author="CMCC" w:date="2025-10-21T12:02:43Z"/>
              </w:rPr>
            </w:pPr>
            <w:ins w:id="82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321EB">
            <w:pPr>
              <w:pStyle w:val="53"/>
              <w:rPr>
                <w:ins w:id="83" w:author="CMCC" w:date="2025-10-21T12:02:43Z"/>
              </w:rPr>
            </w:pPr>
            <w:ins w:id="84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2BD05">
            <w:pPr>
              <w:pStyle w:val="53"/>
              <w:rPr>
                <w:ins w:id="85" w:author="CMCC" w:date="2025-10-21T12:02:43Z"/>
              </w:rPr>
            </w:pPr>
            <w:ins w:id="86" w:author="CMCC" w:date="2025-10-21T12:02:43Z">
              <w:r>
                <w:rPr/>
                <w:t>MBW=REF_SCS*(12*N</w:t>
              </w:r>
            </w:ins>
            <w:ins w:id="87" w:author="CMCC" w:date="2025-10-21T12:02:43Z">
              <w:r>
                <w:rPr>
                  <w:vertAlign w:val="subscript"/>
                </w:rPr>
                <w:t>RB</w:t>
              </w:r>
            </w:ins>
            <w:ins w:id="88" w:author="CMCC" w:date="2025-10-21T12:02:43Z">
              <w:r>
                <w:rPr/>
                <w:t>+1)/1000</w:t>
              </w:r>
            </w:ins>
          </w:p>
        </w:tc>
      </w:tr>
      <w:tr w14:paraId="6EDAC2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265F8">
            <w:pPr>
              <w:pStyle w:val="67"/>
              <w:rPr>
                <w:ins w:id="90" w:author="CMCC" w:date="2025-10-21T12:02:43Z"/>
              </w:rPr>
            </w:pPr>
            <w:ins w:id="91" w:author="CMCC" w:date="2025-10-21T12:02:43Z">
              <w:r>
                <w:rPr/>
                <w:t>NOTE:</w:t>
              </w:r>
            </w:ins>
            <w:ins w:id="92" w:author="CMCC" w:date="2025-10-21T12:02:43Z">
              <w:r>
                <w:rPr/>
                <w:tab/>
              </w:r>
            </w:ins>
            <w:ins w:id="93" w:author="CMCC" w:date="2025-10-21T12:02:43Z">
              <w:r>
                <w:rPr/>
                <w:t>“N</w:t>
              </w:r>
            </w:ins>
            <w:ins w:id="94" w:author="CMCC" w:date="2025-10-21T12:02:43Z">
              <w:r>
                <w:rPr>
                  <w:vertAlign w:val="subscript"/>
                </w:rPr>
                <w:t>RB</w:t>
              </w:r>
            </w:ins>
            <w:ins w:id="95" w:author="CMCC" w:date="2025-10-21T12:02:43Z">
              <w:r>
                <w:rPr/>
                <w:t xml:space="preserve">” in </w:t>
              </w:r>
            </w:ins>
            <w:ins w:id="96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97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2B4F9064">
      <w:pPr>
        <w:rPr>
          <w:ins w:id="98" w:author="CMCC" w:date="2025-10-21T12:02:43Z"/>
        </w:rPr>
      </w:pPr>
    </w:p>
    <w:p w14:paraId="5F63E9E5">
      <w:pPr>
        <w:rPr>
          <w:ins w:id="99" w:author="CMCC" w:date="2025-10-21T12:02:43Z"/>
          <w:highlight w:val="none"/>
        </w:rPr>
      </w:pPr>
      <w:ins w:id="100" w:author="CMCC" w:date="2025-10-21T12:02:43Z">
        <w:r>
          <w:rPr>
            <w:highlight w:val="none"/>
          </w:rPr>
          <w:t xml:space="preserve">The normative reference for this requirement is TS 38.101-1 [2] clause </w:t>
        </w:r>
      </w:ins>
      <w:ins w:id="101" w:author="CMCC" w:date="2025-10-21T12:02:43Z">
        <w:r>
          <w:rPr>
            <w:snapToGrid w:val="0"/>
          </w:rPr>
          <w:t>6.5J.2.3</w:t>
        </w:r>
      </w:ins>
      <w:ins w:id="102" w:author="CMCC" w:date="2025-10-21T12:02:43Z">
        <w:r>
          <w:rPr>
            <w:highlight w:val="none"/>
          </w:rPr>
          <w:t>.</w:t>
        </w:r>
      </w:ins>
    </w:p>
    <w:p w14:paraId="7D421A86">
      <w:pPr>
        <w:pStyle w:val="8"/>
        <w:rPr>
          <w:ins w:id="103" w:author="CMCC" w:date="2025-10-21T12:02:43Z"/>
          <w:highlight w:val="none"/>
        </w:rPr>
      </w:pPr>
      <w:ins w:id="104" w:author="CMCC" w:date="2025-10-21T12:02:43Z">
        <w:bookmarkStart w:id="23" w:name="_Toc60825342"/>
        <w:bookmarkStart w:id="24" w:name="_Toc36226743"/>
        <w:bookmarkStart w:id="25" w:name="_Toc44324028"/>
        <w:bookmarkStart w:id="26" w:name="_Toc52990221"/>
        <w:bookmarkStart w:id="27" w:name="_Toc60823420"/>
        <w:bookmarkStart w:id="28" w:name="_Toc27478050"/>
        <w:r>
          <w:rPr>
            <w:rFonts w:hint="eastAsia" w:eastAsia="宋体"/>
            <w:highlight w:val="none"/>
            <w:lang w:eastAsia="zh-CN"/>
          </w:rPr>
          <w:t>6.5J.2.3</w:t>
        </w:r>
      </w:ins>
      <w:ins w:id="105" w:author="CMCC" w:date="2025-10-21T12:02:43Z">
        <w:r>
          <w:rPr>
            <w:highlight w:val="none"/>
          </w:rPr>
          <w:t>.4</w:t>
        </w:r>
      </w:ins>
      <w:ins w:id="106" w:author="CMCC" w:date="2025-10-21T12:02:43Z">
        <w:r>
          <w:rPr>
            <w:highlight w:val="none"/>
          </w:rPr>
          <w:tab/>
        </w:r>
      </w:ins>
      <w:ins w:id="107" w:author="CMCC" w:date="2025-10-21T12:02:43Z">
        <w:r>
          <w:rPr>
            <w:highlight w:val="none"/>
          </w:rPr>
          <w:t>Test description</w:t>
        </w:r>
        <w:bookmarkEnd w:id="23"/>
        <w:bookmarkEnd w:id="24"/>
        <w:bookmarkEnd w:id="25"/>
        <w:bookmarkEnd w:id="26"/>
        <w:bookmarkEnd w:id="27"/>
        <w:bookmarkEnd w:id="28"/>
      </w:ins>
    </w:p>
    <w:p w14:paraId="4709B095">
      <w:pPr>
        <w:rPr>
          <w:ins w:id="108" w:author="CMCC" w:date="2025-10-21T12:02:43Z"/>
          <w:lang w:eastAsia="zh-CN"/>
        </w:rPr>
      </w:pPr>
      <w:ins w:id="109" w:author="CMCC" w:date="2025-10-21T12:02:43Z">
        <w:r>
          <w:rPr>
            <w:lang w:eastAsia="zh-CN"/>
          </w:rPr>
          <w:t xml:space="preserve">Same test description as in clause </w:t>
        </w:r>
      </w:ins>
      <w:ins w:id="110" w:author="CMCC" w:date="2025-10-21T12:02:43Z">
        <w:r>
          <w:rPr/>
          <w:t>6.5.2.4.1.4</w:t>
        </w:r>
      </w:ins>
      <w:ins w:id="111" w:author="CMCC" w:date="2025-10-21T12:02:43Z">
        <w:r>
          <w:rPr>
            <w:lang w:eastAsia="zh-CN"/>
          </w:rPr>
          <w:t xml:space="preserve"> with the following exceptions:</w:t>
        </w:r>
      </w:ins>
    </w:p>
    <w:p w14:paraId="6CD16264">
      <w:pPr>
        <w:rPr>
          <w:ins w:id="112" w:author="CMCC" w:date="2025-10-21T12:02:43Z"/>
          <w:lang w:val="en-US" w:eastAsia="zh-TW"/>
        </w:rPr>
      </w:pPr>
      <w:ins w:id="113" w:author="CMCC" w:date="2025-10-21T12:02:43Z">
        <w:bookmarkStart w:id="29" w:name="_Toc60823421"/>
        <w:bookmarkStart w:id="30" w:name="_Toc60825343"/>
        <w:bookmarkStart w:id="31" w:name="_Toc36226744"/>
        <w:bookmarkStart w:id="32" w:name="_Toc27478051"/>
        <w:bookmarkStart w:id="33" w:name="_Toc44324029"/>
        <w:bookmarkStart w:id="34" w:name="_Toc52990222"/>
        <w:r>
          <w:rPr>
            <w:lang w:val="en-US" w:eastAsia="zh-TW"/>
          </w:rPr>
          <w:t>Power is measured as the sum of power of all antenna connectors (for ATG UE with omni-directional antennas) or of all TAB connectors (for ATG UE with antenna array)</w:t>
        </w:r>
      </w:ins>
    </w:p>
    <w:p w14:paraId="1A629009">
      <w:pPr>
        <w:pStyle w:val="8"/>
        <w:rPr>
          <w:ins w:id="114" w:author="CMCC" w:date="2025-10-21T12:02:43Z"/>
          <w:highlight w:val="none"/>
        </w:rPr>
      </w:pPr>
      <w:ins w:id="11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16" w:author="CMCC" w:date="2025-10-21T12:02:43Z">
        <w:r>
          <w:rPr>
            <w:highlight w:val="none"/>
          </w:rPr>
          <w:t>.5</w:t>
        </w:r>
      </w:ins>
      <w:ins w:id="117" w:author="CMCC" w:date="2025-10-21T12:02:43Z">
        <w:r>
          <w:rPr>
            <w:highlight w:val="none"/>
          </w:rPr>
          <w:tab/>
        </w:r>
      </w:ins>
      <w:ins w:id="118" w:author="CMCC" w:date="2025-10-21T12:02:43Z">
        <w:r>
          <w:rPr>
            <w:highlight w:val="none"/>
          </w:rPr>
          <w:t>Test requirement</w:t>
        </w:r>
        <w:bookmarkEnd w:id="29"/>
        <w:bookmarkEnd w:id="30"/>
        <w:bookmarkEnd w:id="31"/>
        <w:bookmarkEnd w:id="32"/>
        <w:bookmarkEnd w:id="33"/>
        <w:bookmarkEnd w:id="34"/>
      </w:ins>
    </w:p>
    <w:p w14:paraId="6E0A39E3">
      <w:pPr>
        <w:rPr>
          <w:ins w:id="119" w:author="CMCC" w:date="2025-10-21T12:02:43Z"/>
          <w:rFonts w:eastAsia="宋体"/>
        </w:rPr>
      </w:pPr>
      <w:ins w:id="120" w:author="CMCC" w:date="2025-10-21T12:02:43Z">
        <w:r>
          <w:rPr/>
          <w:t xml:space="preserve">The measured UE mean power in the channel bandwidth, derived in step 3, shall fulfil requirements in </w:t>
        </w:r>
      </w:ins>
      <w:ins w:id="121" w:author="CMCC" w:date="2025-10-21T12:02:43Z">
        <w:r>
          <w:rPr>
            <w:lang w:eastAsia="zh-CN"/>
          </w:rPr>
          <w:t>clause 6.2.2.5</w:t>
        </w:r>
      </w:ins>
      <w:ins w:id="122" w:author="CMCC" w:date="2025-10-21T12:02:43Z">
        <w:r>
          <w:rPr/>
          <w:t xml:space="preserve"> as appropriate, and </w:t>
        </w:r>
      </w:ins>
      <w:ins w:id="123" w:author="CMCC" w:date="2025-10-21T12:02:43Z">
        <w:r>
          <w:rPr>
            <w:rFonts w:cs="v5.0.0"/>
          </w:rPr>
          <w:t>if the measured adjacent channel power is greater than –50 dBm then</w:t>
        </w:r>
      </w:ins>
      <w:ins w:id="124" w:author="CMCC" w:date="2025-10-21T12:02:43Z">
        <w:r>
          <w:rPr/>
          <w:t xml:space="preserve"> the measured NR ACLR, derived in step 6, shall be higher than the limits in Table </w:t>
        </w:r>
      </w:ins>
      <w:ins w:id="12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26" w:author="CMCC" w:date="2025-10-21T12:02:43Z">
        <w:r>
          <w:rPr>
            <w:highlight w:val="none"/>
          </w:rPr>
          <w:t>.5</w:t>
        </w:r>
      </w:ins>
      <w:ins w:id="127" w:author="CMCC" w:date="2025-10-21T12:02:43Z">
        <w:r>
          <w:rPr/>
          <w:t>-</w:t>
        </w:r>
      </w:ins>
      <w:ins w:id="128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29" w:author="CMCC" w:date="2025-10-21T12:02:43Z">
        <w:r>
          <w:rPr/>
          <w:t>.</w:t>
        </w:r>
      </w:ins>
    </w:p>
    <w:p w14:paraId="1B037597">
      <w:pPr>
        <w:pStyle w:val="56"/>
        <w:rPr>
          <w:ins w:id="130" w:author="CMCC" w:date="2025-10-21T12:02:43Z"/>
        </w:rPr>
      </w:pPr>
      <w:ins w:id="131" w:author="CMCC" w:date="2025-10-21T12:02:43Z">
        <w:r>
          <w:rPr/>
          <w:t xml:space="preserve">Table </w:t>
        </w:r>
      </w:ins>
      <w:ins w:id="132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33" w:author="CMCC" w:date="2025-10-21T12:02:43Z">
        <w:r>
          <w:rPr>
            <w:highlight w:val="none"/>
          </w:rPr>
          <w:t>.5</w:t>
        </w:r>
      </w:ins>
      <w:ins w:id="134" w:author="CMCC" w:date="2025-10-21T12:02:43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A3F56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BD243">
            <w:pPr>
              <w:pStyle w:val="52"/>
              <w:rPr>
                <w:ins w:id="136" w:author="CMCC" w:date="2025-10-21T12:02:43Z"/>
              </w:rPr>
            </w:pPr>
            <w:ins w:id="137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7BD1">
            <w:pPr>
              <w:pStyle w:val="53"/>
              <w:rPr>
                <w:ins w:id="138" w:author="CMCC" w:date="2025-10-21T12:02:43Z"/>
              </w:rPr>
            </w:pPr>
            <w:ins w:id="139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8EDF3">
            <w:pPr>
              <w:pStyle w:val="53"/>
              <w:rPr>
                <w:ins w:id="140" w:author="CMCC" w:date="2025-10-21T12:02:43Z"/>
              </w:rPr>
            </w:pPr>
            <w:ins w:id="141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AA2F5">
            <w:pPr>
              <w:pStyle w:val="53"/>
              <w:rPr>
                <w:ins w:id="142" w:author="CMCC" w:date="2025-10-21T12:02:43Z"/>
              </w:rPr>
            </w:pPr>
            <w:ins w:id="143" w:author="CMCC" w:date="2025-10-21T12:02:43Z">
              <w:r>
                <w:rPr/>
                <w:t>60,70,80,90,100</w:t>
              </w:r>
            </w:ins>
          </w:p>
        </w:tc>
      </w:tr>
      <w:tr w14:paraId="44F778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0CFE8">
            <w:pPr>
              <w:pStyle w:val="52"/>
              <w:rPr>
                <w:ins w:id="145" w:author="CMCC" w:date="2025-10-21T12:02:43Z"/>
              </w:rPr>
            </w:pPr>
            <w:ins w:id="146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F5EA7">
            <w:pPr>
              <w:pStyle w:val="53"/>
              <w:rPr>
                <w:ins w:id="147" w:author="CMCC" w:date="2025-10-21T12:02:43Z"/>
              </w:rPr>
            </w:pPr>
            <w:ins w:id="148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9FE3E">
            <w:pPr>
              <w:pStyle w:val="53"/>
              <w:rPr>
                <w:ins w:id="149" w:author="CMCC" w:date="2025-10-21T12:02:43Z"/>
              </w:rPr>
            </w:pPr>
            <w:ins w:id="150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0C570A">
            <w:pPr>
              <w:pStyle w:val="53"/>
              <w:rPr>
                <w:ins w:id="151" w:author="CMCC" w:date="2025-10-21T12:02:43Z"/>
              </w:rPr>
            </w:pPr>
            <w:ins w:id="152" w:author="CMCC" w:date="2025-10-21T12:02:43Z">
              <w:r>
                <w:rPr/>
                <w:t>30</w:t>
              </w:r>
            </w:ins>
          </w:p>
        </w:tc>
      </w:tr>
      <w:tr w14:paraId="599027D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22CAA">
            <w:pPr>
              <w:pStyle w:val="52"/>
              <w:rPr>
                <w:ins w:id="154" w:author="CMCC" w:date="2025-10-21T12:02:43Z"/>
              </w:rPr>
            </w:pPr>
            <w:ins w:id="155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6E45">
            <w:pPr>
              <w:pStyle w:val="53"/>
              <w:rPr>
                <w:ins w:id="156" w:author="CMCC" w:date="2025-10-21T12:02:43Z"/>
              </w:rPr>
            </w:pPr>
            <w:ins w:id="157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36264">
            <w:pPr>
              <w:pStyle w:val="53"/>
              <w:rPr>
                <w:ins w:id="158" w:author="CMCC" w:date="2025-10-21T12:02:43Z"/>
              </w:rPr>
            </w:pPr>
            <w:ins w:id="159" w:author="CMCC" w:date="2025-10-21T12:02:43Z">
              <w:r>
                <w:rPr/>
                <w:t>MBW=REF_SCS*(12*N</w:t>
              </w:r>
            </w:ins>
            <w:ins w:id="160" w:author="CMCC" w:date="2025-10-21T12:02:43Z">
              <w:r>
                <w:rPr>
                  <w:vertAlign w:val="subscript"/>
                </w:rPr>
                <w:t>RB</w:t>
              </w:r>
            </w:ins>
            <w:ins w:id="161" w:author="CMCC" w:date="2025-10-21T12:02:43Z">
              <w:r>
                <w:rPr/>
                <w:t>+1)/1000</w:t>
              </w:r>
            </w:ins>
          </w:p>
        </w:tc>
      </w:tr>
      <w:tr w14:paraId="724F524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69D4">
            <w:pPr>
              <w:pStyle w:val="67"/>
              <w:rPr>
                <w:ins w:id="163" w:author="CMCC" w:date="2025-10-21T12:02:43Z"/>
              </w:rPr>
            </w:pPr>
            <w:ins w:id="164" w:author="CMCC" w:date="2025-10-21T12:02:43Z">
              <w:r>
                <w:rPr/>
                <w:t>NOTE:</w:t>
              </w:r>
            </w:ins>
            <w:ins w:id="165" w:author="CMCC" w:date="2025-10-21T12:02:43Z">
              <w:r>
                <w:rPr/>
                <w:tab/>
              </w:r>
            </w:ins>
            <w:ins w:id="166" w:author="CMCC" w:date="2025-10-21T12:02:43Z">
              <w:r>
                <w:rPr/>
                <w:t>“N</w:t>
              </w:r>
            </w:ins>
            <w:ins w:id="167" w:author="CMCC" w:date="2025-10-21T12:02:43Z">
              <w:r>
                <w:rPr>
                  <w:vertAlign w:val="subscript"/>
                </w:rPr>
                <w:t>RB</w:t>
              </w:r>
            </w:ins>
            <w:ins w:id="168" w:author="CMCC" w:date="2025-10-21T12:02:43Z">
              <w:r>
                <w:rPr/>
                <w:t xml:space="preserve">” in </w:t>
              </w:r>
            </w:ins>
            <w:ins w:id="169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70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4B2EBD71">
      <w:pPr>
        <w:rPr>
          <w:ins w:id="171" w:author="CMCC" w:date="2025-10-21T12:02:43Z"/>
        </w:rPr>
      </w:pPr>
    </w:p>
    <w:p w14:paraId="4D5B000A">
      <w:pPr>
        <w:pStyle w:val="56"/>
        <w:rPr>
          <w:ins w:id="172" w:author="CMCC" w:date="2025-10-21T12:02:43Z"/>
        </w:rPr>
      </w:pPr>
      <w:ins w:id="173" w:author="CMCC" w:date="2025-10-21T12:02:43Z">
        <w:r>
          <w:rPr/>
          <w:t xml:space="preserve">Table </w:t>
        </w:r>
      </w:ins>
      <w:ins w:id="174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75" w:author="CMCC" w:date="2025-10-21T12:02:43Z">
        <w:r>
          <w:rPr>
            <w:highlight w:val="none"/>
          </w:rPr>
          <w:t>.5</w:t>
        </w:r>
      </w:ins>
      <w:ins w:id="176" w:author="CMCC" w:date="2025-10-21T12:02:43Z">
        <w:r>
          <w:rPr/>
          <w:t>-</w:t>
        </w:r>
      </w:ins>
      <w:ins w:id="177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78" w:author="CMCC" w:date="2025-10-21T12:02:43Z">
        <w:r>
          <w:rPr/>
          <w:t>: NR ACLR requirement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8"/>
      </w:tblGrid>
      <w:tr w14:paraId="7099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0-21T12:02:43Z"/>
        </w:trPr>
        <w:tc>
          <w:tcPr>
            <w:tcW w:w="4118" w:type="dxa"/>
          </w:tcPr>
          <w:p w14:paraId="62AE3149">
            <w:pPr>
              <w:pStyle w:val="52"/>
              <w:jc w:val="center"/>
              <w:rPr>
                <w:ins w:id="180" w:author="CMCC" w:date="2025-10-21T12:02:43Z"/>
                <w:rFonts w:hint="default" w:eastAsia="宋体"/>
                <w:lang w:val="en-US" w:eastAsia="zh-CN"/>
              </w:rPr>
            </w:pPr>
            <w:ins w:id="181" w:author="CMCC" w:date="2025-10-21T12:02:43Z">
              <w:r>
                <w:rPr/>
                <w:t>NR ACLR</w:t>
              </w:r>
            </w:ins>
          </w:p>
        </w:tc>
      </w:tr>
      <w:tr w14:paraId="2ECD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82" w:author="CMCC" w:date="2025-10-21T12:02:43Z"/>
        </w:trPr>
        <w:tc>
          <w:tcPr>
            <w:tcW w:w="4118" w:type="dxa"/>
            <w:vAlign w:val="center"/>
          </w:tcPr>
          <w:p w14:paraId="7082B00E">
            <w:pPr>
              <w:pStyle w:val="53"/>
              <w:jc w:val="center"/>
              <w:rPr>
                <w:ins w:id="183" w:author="CMCC" w:date="2025-10-21T12:02:43Z"/>
              </w:rPr>
            </w:pPr>
            <w:ins w:id="184" w:author="CMCC" w:date="2025-10-21T12:02:43Z">
              <w:r>
                <w:rPr/>
                <w:t>30 - TT dB</w:t>
              </w:r>
            </w:ins>
          </w:p>
        </w:tc>
      </w:tr>
      <w:tr w14:paraId="1F20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CMCC" w:date="2025-10-21T12:02:43Z"/>
        </w:trPr>
        <w:tc>
          <w:tcPr>
            <w:tcW w:w="4118" w:type="dxa"/>
          </w:tcPr>
          <w:p w14:paraId="2F2A1192">
            <w:pPr>
              <w:pStyle w:val="67"/>
              <w:rPr>
                <w:ins w:id="186" w:author="CMCC" w:date="2025-10-21T12:02:43Z"/>
              </w:rPr>
            </w:pPr>
            <w:ins w:id="187" w:author="CMCC" w:date="2025-10-21T12:02:43Z">
              <w:r>
                <w:rPr/>
                <w:t>NOTE 1:</w:t>
              </w:r>
            </w:ins>
            <w:ins w:id="188" w:author="CMCC" w:date="2025-10-21T12:02:43Z">
              <w:r>
                <w:rPr/>
                <w:tab/>
              </w:r>
            </w:ins>
            <w:ins w:id="189" w:author="CMCC" w:date="2025-10-21T12:02:43Z">
              <w:r>
                <w:rPr/>
                <w:t xml:space="preserve">TT for each frequency and channel bandwidth is specified in Table </w:t>
              </w:r>
            </w:ins>
            <w:ins w:id="190" w:author="CMCC" w:date="2025-10-21T12:02:43Z">
              <w:r>
                <w:rPr>
                  <w:rFonts w:hint="eastAsia" w:eastAsia="宋体"/>
                  <w:highlight w:val="none"/>
                  <w:lang w:eastAsia="zh-CN"/>
                </w:rPr>
                <w:t>6.5J.2.3</w:t>
              </w:r>
            </w:ins>
            <w:ins w:id="191" w:author="CMCC" w:date="2025-10-21T12:02:43Z">
              <w:r>
                <w:rPr>
                  <w:highlight w:val="none"/>
                </w:rPr>
                <w:t>.5</w:t>
              </w:r>
            </w:ins>
            <w:ins w:id="192" w:author="CMCC" w:date="2025-10-21T12:02:43Z">
              <w:r>
                <w:rPr/>
                <w:t>-</w:t>
              </w:r>
            </w:ins>
            <w:ins w:id="193" w:author="CMCC" w:date="2025-10-21T12:02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4" w:author="CMCC" w:date="2025-10-21T12:02:43Z">
              <w:r>
                <w:rPr/>
                <w:t>.</w:t>
              </w:r>
            </w:ins>
          </w:p>
        </w:tc>
      </w:tr>
    </w:tbl>
    <w:p w14:paraId="76FB2B61">
      <w:pPr>
        <w:rPr>
          <w:ins w:id="195" w:author="CMCC" w:date="2025-10-21T12:02:43Z"/>
        </w:rPr>
      </w:pPr>
    </w:p>
    <w:p w14:paraId="6E63224D">
      <w:pPr>
        <w:pStyle w:val="56"/>
        <w:rPr>
          <w:ins w:id="196" w:author="CMCC" w:date="2025-10-21T12:02:43Z"/>
        </w:rPr>
      </w:pPr>
      <w:ins w:id="197" w:author="CMCC" w:date="2025-10-21T12:02:43Z">
        <w:r>
          <w:rPr/>
          <w:t xml:space="preserve">Table </w:t>
        </w:r>
      </w:ins>
      <w:ins w:id="198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99" w:author="CMCC" w:date="2025-10-21T12:02:43Z">
        <w:r>
          <w:rPr>
            <w:highlight w:val="none"/>
          </w:rPr>
          <w:t>.5</w:t>
        </w:r>
      </w:ins>
      <w:ins w:id="200" w:author="CMCC" w:date="2025-10-21T12:02:43Z">
        <w:r>
          <w:rPr/>
          <w:t>-</w:t>
        </w:r>
      </w:ins>
      <w:ins w:id="201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202" w:author="CMCC" w:date="2025-10-21T12:02:43Z">
        <w:r>
          <w:rPr/>
          <w:t>: Test Tolerance (NR ACLR)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 w14:paraId="419B9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D89B">
            <w:pPr>
              <w:pStyle w:val="52"/>
              <w:jc w:val="left"/>
              <w:rPr>
                <w:ins w:id="204" w:author="CMCC" w:date="2025-10-21T12:02:43Z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F3488">
            <w:pPr>
              <w:pStyle w:val="52"/>
              <w:jc w:val="left"/>
              <w:rPr>
                <w:ins w:id="205" w:author="CMCC" w:date="2025-10-21T12:02:43Z"/>
              </w:rPr>
            </w:pPr>
            <w:ins w:id="206" w:author="CMCC" w:date="2025-10-21T12:02:43Z">
              <w:r>
                <w:rPr/>
                <w:t>f ≤ 3.0GHz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7B48E">
            <w:pPr>
              <w:pStyle w:val="52"/>
              <w:jc w:val="left"/>
              <w:rPr>
                <w:ins w:id="207" w:author="CMCC" w:date="2025-10-21T12:02:43Z"/>
              </w:rPr>
            </w:pPr>
            <w:ins w:id="208" w:author="CMCC" w:date="2025-10-21T12:02:43Z">
              <w:r>
                <w:rPr/>
                <w:t>3.0GHz &lt; f ≤ 4.2GHz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F0C32">
            <w:pPr>
              <w:pStyle w:val="52"/>
              <w:jc w:val="left"/>
              <w:rPr>
                <w:ins w:id="209" w:author="CMCC" w:date="2025-10-21T12:02:43Z"/>
                <w:highlight w:val="none"/>
              </w:rPr>
            </w:pPr>
            <w:ins w:id="210" w:author="CMCC" w:date="2025-10-21T12:02:43Z">
              <w:r>
                <w:rPr>
                  <w:highlight w:val="none"/>
                </w:rPr>
                <w:t xml:space="preserve">4.2GHz &lt; f ≤ </w:t>
              </w:r>
            </w:ins>
            <w:ins w:id="211" w:author="Luyang Zhao-CMCC" w:date="2025-11-14T23:03:29Z">
              <w:r>
                <w:rPr>
                  <w:rFonts w:hint="default"/>
                  <w:highlight w:val="none"/>
                  <w:lang w:val="en-AU"/>
                </w:rPr>
                <w:t>6</w:t>
              </w:r>
            </w:ins>
            <w:ins w:id="212" w:author="CMCC" w:date="2025-10-21T12:02:43Z">
              <w:r>
                <w:rPr>
                  <w:highlight w:val="none"/>
                </w:rPr>
                <w:t>GHz</w:t>
              </w:r>
            </w:ins>
          </w:p>
        </w:tc>
      </w:tr>
      <w:tr w14:paraId="022B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4AE7">
            <w:pPr>
              <w:pStyle w:val="53"/>
              <w:jc w:val="left"/>
              <w:rPr>
                <w:ins w:id="214" w:author="CMCC" w:date="2025-10-21T12:02:43Z"/>
              </w:rPr>
            </w:pPr>
            <w:ins w:id="215" w:author="CMCC" w:date="2025-10-21T12:02:43Z">
              <w:r>
                <w:rPr/>
                <w:t>BW ≤ 100MHz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25B3">
            <w:pPr>
              <w:pStyle w:val="53"/>
              <w:jc w:val="left"/>
              <w:rPr>
                <w:ins w:id="216" w:author="CMCC" w:date="2025-10-21T12:02:43Z"/>
              </w:rPr>
            </w:pPr>
            <w:ins w:id="217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45DE">
            <w:pPr>
              <w:pStyle w:val="53"/>
              <w:jc w:val="left"/>
              <w:rPr>
                <w:ins w:id="218" w:author="CMCC" w:date="2025-10-21T12:02:43Z"/>
              </w:rPr>
            </w:pPr>
            <w:ins w:id="219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9686">
            <w:pPr>
              <w:pStyle w:val="53"/>
              <w:jc w:val="left"/>
              <w:rPr>
                <w:ins w:id="220" w:author="CMCC" w:date="2025-10-21T12:02:43Z"/>
              </w:rPr>
            </w:pPr>
            <w:ins w:id="221" w:author="CMCC" w:date="2025-10-21T12:02:43Z">
              <w:r>
                <w:rPr/>
                <w:t>0.8 dB</w:t>
              </w:r>
            </w:ins>
          </w:p>
        </w:tc>
      </w:tr>
    </w:tbl>
    <w:p w14:paraId="1E8BA5E5">
      <w:pPr>
        <w:rPr>
          <w:ins w:id="222" w:author="CMCC" w:date="2025-10-21T12:02:43Z"/>
        </w:rPr>
      </w:pPr>
    </w:p>
    <w:p w14:paraId="352E676E">
      <w:pPr>
        <w:pStyle w:val="4"/>
      </w:pPr>
      <w:r>
        <w:t>6.5J.</w:t>
      </w:r>
      <w:r>
        <w:rPr>
          <w:lang w:eastAsia="zh-CN"/>
        </w:rPr>
        <w:t>3</w:t>
      </w:r>
      <w:r>
        <w:tab/>
      </w:r>
      <w:r>
        <w:t>Spurious emissions for ATG</w:t>
      </w:r>
    </w:p>
    <w:p w14:paraId="5042C31F">
      <w:pPr>
        <w:pStyle w:val="5"/>
      </w:pPr>
      <w:r>
        <w:t>6.5J.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0</w:t>
      </w:r>
      <w:r>
        <w:tab/>
      </w:r>
      <w:r>
        <w:t>General</w:t>
      </w:r>
      <w:bookmarkStart w:id="35" w:name="_GoBack"/>
      <w:bookmarkEnd w:id="35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497C7E"/>
    <w:rsid w:val="017E7215"/>
    <w:rsid w:val="01C47FF2"/>
    <w:rsid w:val="01DF5C17"/>
    <w:rsid w:val="031D2985"/>
    <w:rsid w:val="031F40B3"/>
    <w:rsid w:val="032AB760"/>
    <w:rsid w:val="035B1959"/>
    <w:rsid w:val="0379447D"/>
    <w:rsid w:val="03AF7E4B"/>
    <w:rsid w:val="03D9468C"/>
    <w:rsid w:val="041617C1"/>
    <w:rsid w:val="0506558F"/>
    <w:rsid w:val="05F43D64"/>
    <w:rsid w:val="066124BE"/>
    <w:rsid w:val="068E3D63"/>
    <w:rsid w:val="069C5B8A"/>
    <w:rsid w:val="06AB4866"/>
    <w:rsid w:val="06D4065D"/>
    <w:rsid w:val="06FF299A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9F367E7"/>
    <w:rsid w:val="0AA50DCD"/>
    <w:rsid w:val="0B3B75A4"/>
    <w:rsid w:val="0B4611CC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E6D170B"/>
    <w:rsid w:val="0E9B1E57"/>
    <w:rsid w:val="0ECA53D4"/>
    <w:rsid w:val="0F2D2D76"/>
    <w:rsid w:val="0F786710"/>
    <w:rsid w:val="10750A53"/>
    <w:rsid w:val="10EB0B12"/>
    <w:rsid w:val="11150096"/>
    <w:rsid w:val="11435F18"/>
    <w:rsid w:val="1154618A"/>
    <w:rsid w:val="11B5604C"/>
    <w:rsid w:val="122715D7"/>
    <w:rsid w:val="12A715EE"/>
    <w:rsid w:val="132E53B3"/>
    <w:rsid w:val="13775E98"/>
    <w:rsid w:val="14FF296A"/>
    <w:rsid w:val="150E0C1B"/>
    <w:rsid w:val="15497BD4"/>
    <w:rsid w:val="156E0E85"/>
    <w:rsid w:val="16583648"/>
    <w:rsid w:val="16C10575"/>
    <w:rsid w:val="173D342E"/>
    <w:rsid w:val="175E3B80"/>
    <w:rsid w:val="1789364A"/>
    <w:rsid w:val="17DE4581"/>
    <w:rsid w:val="18416FA7"/>
    <w:rsid w:val="18B17F4F"/>
    <w:rsid w:val="19123DEB"/>
    <w:rsid w:val="197D24D6"/>
    <w:rsid w:val="1BA116A2"/>
    <w:rsid w:val="1C8416D6"/>
    <w:rsid w:val="1CD85791"/>
    <w:rsid w:val="1D34061D"/>
    <w:rsid w:val="1D4076C9"/>
    <w:rsid w:val="1D7B15F9"/>
    <w:rsid w:val="1DA62AB3"/>
    <w:rsid w:val="1E2E2BC7"/>
    <w:rsid w:val="1E47263C"/>
    <w:rsid w:val="1EB81B4E"/>
    <w:rsid w:val="1F2C2BE9"/>
    <w:rsid w:val="1FDA771F"/>
    <w:rsid w:val="20CF42F8"/>
    <w:rsid w:val="223573AF"/>
    <w:rsid w:val="22622E99"/>
    <w:rsid w:val="22837FA0"/>
    <w:rsid w:val="22B64134"/>
    <w:rsid w:val="23295712"/>
    <w:rsid w:val="23353569"/>
    <w:rsid w:val="240A160A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013BC2"/>
    <w:rsid w:val="2C867F06"/>
    <w:rsid w:val="2CAC780B"/>
    <w:rsid w:val="2CC03E7E"/>
    <w:rsid w:val="2CC63ED7"/>
    <w:rsid w:val="2D8527B2"/>
    <w:rsid w:val="2E561B03"/>
    <w:rsid w:val="2E66503A"/>
    <w:rsid w:val="2EE6563F"/>
    <w:rsid w:val="2F417A77"/>
    <w:rsid w:val="2F991A4B"/>
    <w:rsid w:val="3017391D"/>
    <w:rsid w:val="30870E79"/>
    <w:rsid w:val="30BC2084"/>
    <w:rsid w:val="310F530C"/>
    <w:rsid w:val="3140320E"/>
    <w:rsid w:val="31790817"/>
    <w:rsid w:val="320C542C"/>
    <w:rsid w:val="32206246"/>
    <w:rsid w:val="341A2112"/>
    <w:rsid w:val="341E5273"/>
    <w:rsid w:val="34A12E66"/>
    <w:rsid w:val="34B8139C"/>
    <w:rsid w:val="362568E5"/>
    <w:rsid w:val="362A26FF"/>
    <w:rsid w:val="36382FD1"/>
    <w:rsid w:val="36A22CC5"/>
    <w:rsid w:val="36F9770D"/>
    <w:rsid w:val="36FF7041"/>
    <w:rsid w:val="37577BC3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7D7C54"/>
    <w:rsid w:val="3FC02C90"/>
    <w:rsid w:val="411C5C8F"/>
    <w:rsid w:val="41A766E8"/>
    <w:rsid w:val="41A82799"/>
    <w:rsid w:val="41D150EE"/>
    <w:rsid w:val="437234EE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82E4E78"/>
    <w:rsid w:val="48325384"/>
    <w:rsid w:val="48744026"/>
    <w:rsid w:val="49162466"/>
    <w:rsid w:val="49346325"/>
    <w:rsid w:val="495B7468"/>
    <w:rsid w:val="49806507"/>
    <w:rsid w:val="498B3497"/>
    <w:rsid w:val="49C4631F"/>
    <w:rsid w:val="4A45342C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E6920B3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2AC4765"/>
    <w:rsid w:val="538771D7"/>
    <w:rsid w:val="53A237D4"/>
    <w:rsid w:val="53BE1958"/>
    <w:rsid w:val="540206C0"/>
    <w:rsid w:val="54817698"/>
    <w:rsid w:val="54F476EE"/>
    <w:rsid w:val="552733C1"/>
    <w:rsid w:val="55330DCD"/>
    <w:rsid w:val="56547BD5"/>
    <w:rsid w:val="565C61CE"/>
    <w:rsid w:val="56B9437B"/>
    <w:rsid w:val="570578F8"/>
    <w:rsid w:val="57F9583D"/>
    <w:rsid w:val="58AC23C3"/>
    <w:rsid w:val="58E4311D"/>
    <w:rsid w:val="58F307D5"/>
    <w:rsid w:val="58F77187"/>
    <w:rsid w:val="591A1926"/>
    <w:rsid w:val="59CB277C"/>
    <w:rsid w:val="5A4D0342"/>
    <w:rsid w:val="5A54155A"/>
    <w:rsid w:val="5B5A3864"/>
    <w:rsid w:val="5BAC5012"/>
    <w:rsid w:val="5BB5599A"/>
    <w:rsid w:val="5C021A80"/>
    <w:rsid w:val="5C1178A2"/>
    <w:rsid w:val="5C2D4455"/>
    <w:rsid w:val="5D2B27E7"/>
    <w:rsid w:val="5D8A6083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7B6ABA"/>
    <w:rsid w:val="68947D20"/>
    <w:rsid w:val="69D97CAE"/>
    <w:rsid w:val="6A146A27"/>
    <w:rsid w:val="6A1E077C"/>
    <w:rsid w:val="6A614DC9"/>
    <w:rsid w:val="6AC448A3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44725F"/>
    <w:rsid w:val="716F2CD7"/>
    <w:rsid w:val="72173CAE"/>
    <w:rsid w:val="7235171A"/>
    <w:rsid w:val="732B434B"/>
    <w:rsid w:val="738B7074"/>
    <w:rsid w:val="739C5B54"/>
    <w:rsid w:val="73E0372B"/>
    <w:rsid w:val="73E111A1"/>
    <w:rsid w:val="74082747"/>
    <w:rsid w:val="74BE1A94"/>
    <w:rsid w:val="74E76CC4"/>
    <w:rsid w:val="74F57B96"/>
    <w:rsid w:val="753B0290"/>
    <w:rsid w:val="75597550"/>
    <w:rsid w:val="759325B7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8E71B48"/>
    <w:rsid w:val="790E73FF"/>
    <w:rsid w:val="79714B41"/>
    <w:rsid w:val="797B776E"/>
    <w:rsid w:val="797C5787"/>
    <w:rsid w:val="79D31349"/>
    <w:rsid w:val="79FC3E52"/>
    <w:rsid w:val="7A427572"/>
    <w:rsid w:val="7A5565DC"/>
    <w:rsid w:val="7ACA0C9A"/>
    <w:rsid w:val="7AF16597"/>
    <w:rsid w:val="7B23446B"/>
    <w:rsid w:val="7B4E108A"/>
    <w:rsid w:val="7B9E45D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E3316A2"/>
    <w:rsid w:val="7E442139"/>
    <w:rsid w:val="7E4A0D41"/>
    <w:rsid w:val="7EFFA8F1"/>
    <w:rsid w:val="7F2F6A35"/>
    <w:rsid w:val="7F6D009E"/>
    <w:rsid w:val="7F9B76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729</Words>
  <Characters>3949</Characters>
  <Lines>16</Lines>
  <Paragraphs>4</Paragraphs>
  <TotalTime>3</TotalTime>
  <ScaleCrop>false</ScaleCrop>
  <LinksUpToDate>false</LinksUpToDate>
  <CharactersWithSpaces>4569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2025-11-18T14:58:14Z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